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664C0" w14:textId="3D96ED71" w:rsidR="00212F52" w:rsidRPr="0091613B" w:rsidRDefault="00212F52" w:rsidP="00BB6412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91613B">
        <w:rPr>
          <w:b/>
          <w:sz w:val="28"/>
          <w:szCs w:val="28"/>
          <w:lang w:val="en-US"/>
        </w:rPr>
        <w:t>BioInnovation Africa</w:t>
      </w:r>
    </w:p>
    <w:p w14:paraId="79AF431A" w14:textId="6900E3E2" w:rsidR="00986F59" w:rsidRPr="0091613B" w:rsidRDefault="00212F52" w:rsidP="00BB6412">
      <w:pPr>
        <w:jc w:val="both"/>
        <w:rPr>
          <w:i/>
          <w:iCs/>
          <w:lang w:val="en-US"/>
        </w:rPr>
      </w:pPr>
      <w:r w:rsidRPr="0091613B">
        <w:rPr>
          <w:i/>
          <w:iCs/>
          <w:lang w:val="en-US"/>
        </w:rPr>
        <w:t xml:space="preserve">For equitable </w:t>
      </w:r>
      <w:r w:rsidR="00766CBD">
        <w:rPr>
          <w:i/>
          <w:iCs/>
          <w:lang w:val="en-US"/>
        </w:rPr>
        <w:t xml:space="preserve">European-African </w:t>
      </w:r>
      <w:r w:rsidRPr="0091613B">
        <w:rPr>
          <w:i/>
          <w:iCs/>
          <w:lang w:val="en-US"/>
        </w:rPr>
        <w:t>business partnerships that contribute to biodiversity conservation</w:t>
      </w:r>
      <w:r w:rsidR="00766CBD">
        <w:rPr>
          <w:i/>
          <w:iCs/>
          <w:lang w:val="en-US"/>
        </w:rPr>
        <w:t xml:space="preserve"> and sustainable use in </w:t>
      </w:r>
      <w:r w:rsidRPr="0091613B">
        <w:rPr>
          <w:i/>
          <w:iCs/>
          <w:lang w:val="en-US"/>
        </w:rPr>
        <w:t>Cameroon, Madagascar, Namibia</w:t>
      </w:r>
      <w:r w:rsidR="00766CBD">
        <w:rPr>
          <w:i/>
          <w:iCs/>
          <w:lang w:val="en-US"/>
        </w:rPr>
        <w:t xml:space="preserve"> or</w:t>
      </w:r>
      <w:r w:rsidR="00766CBD" w:rsidRPr="0091613B">
        <w:rPr>
          <w:i/>
          <w:iCs/>
          <w:lang w:val="en-US"/>
        </w:rPr>
        <w:t xml:space="preserve"> </w:t>
      </w:r>
      <w:r w:rsidRPr="0091613B">
        <w:rPr>
          <w:i/>
          <w:iCs/>
          <w:lang w:val="en-US"/>
        </w:rPr>
        <w:t>South Africa</w:t>
      </w:r>
    </w:p>
    <w:p w14:paraId="07A1601B" w14:textId="33BEB170" w:rsidR="00BB6412" w:rsidRPr="0091613B" w:rsidRDefault="00BB6412" w:rsidP="00BB6412">
      <w:pPr>
        <w:jc w:val="both"/>
        <w:rPr>
          <w:lang w:val="en-US"/>
        </w:rPr>
      </w:pPr>
    </w:p>
    <w:p w14:paraId="5D8B0C0E" w14:textId="33973A11" w:rsidR="0062688C" w:rsidRPr="0091613B" w:rsidRDefault="0062688C" w:rsidP="00BB6412">
      <w:pPr>
        <w:jc w:val="both"/>
        <w:rPr>
          <w:sz w:val="28"/>
          <w:szCs w:val="28"/>
          <w:lang w:val="en-US"/>
        </w:rPr>
      </w:pPr>
      <w:r w:rsidRPr="0091613B">
        <w:rPr>
          <w:b/>
          <w:sz w:val="28"/>
          <w:szCs w:val="28"/>
          <w:lang w:val="en-US"/>
        </w:rPr>
        <w:t xml:space="preserve">Call for expressions of interest </w:t>
      </w:r>
    </w:p>
    <w:p w14:paraId="686A4A3D" w14:textId="755A1244" w:rsidR="00212F52" w:rsidRPr="0091613B" w:rsidRDefault="00212F52" w:rsidP="00BB6412">
      <w:pPr>
        <w:jc w:val="both"/>
        <w:rPr>
          <w:lang w:val="en-US"/>
        </w:rPr>
      </w:pPr>
      <w:r w:rsidRPr="0091613B">
        <w:rPr>
          <w:lang w:val="en-US"/>
        </w:rPr>
        <w:t xml:space="preserve">The project invites </w:t>
      </w:r>
      <w:r w:rsidR="000134DC">
        <w:rPr>
          <w:lang w:val="en-US"/>
        </w:rPr>
        <w:t>‘</w:t>
      </w:r>
      <w:r w:rsidRPr="0091613B">
        <w:rPr>
          <w:lang w:val="en-US"/>
        </w:rPr>
        <w:t>expressions of interest</w:t>
      </w:r>
      <w:r w:rsidR="000134DC">
        <w:rPr>
          <w:lang w:val="en-US"/>
        </w:rPr>
        <w:t>’</w:t>
      </w:r>
      <w:r w:rsidRPr="0091613B">
        <w:rPr>
          <w:lang w:val="en-US"/>
        </w:rPr>
        <w:t xml:space="preserve"> </w:t>
      </w:r>
      <w:r w:rsidR="00435517" w:rsidRPr="0091613B">
        <w:rPr>
          <w:lang w:val="en-US"/>
        </w:rPr>
        <w:t xml:space="preserve">from </w:t>
      </w:r>
      <w:r w:rsidR="00DC44B7">
        <w:rPr>
          <w:lang w:val="en-US"/>
        </w:rPr>
        <w:t>business and business organizations</w:t>
      </w:r>
      <w:r w:rsidRPr="0091613B">
        <w:rPr>
          <w:lang w:val="en-US"/>
        </w:rPr>
        <w:t xml:space="preserve"> interested in </w:t>
      </w:r>
      <w:r w:rsidR="00F9218A">
        <w:rPr>
          <w:lang w:val="en-US"/>
        </w:rPr>
        <w:t>partnering with the BioI</w:t>
      </w:r>
      <w:r w:rsidR="00986F59" w:rsidRPr="0091613B">
        <w:rPr>
          <w:lang w:val="en-US"/>
        </w:rPr>
        <w:t xml:space="preserve">nnovation </w:t>
      </w:r>
      <w:r w:rsidR="0062688C" w:rsidRPr="0091613B">
        <w:rPr>
          <w:lang w:val="en-US"/>
        </w:rPr>
        <w:t xml:space="preserve">Africa </w:t>
      </w:r>
      <w:r w:rsidR="00986F59" w:rsidRPr="0091613B">
        <w:rPr>
          <w:lang w:val="en-US"/>
        </w:rPr>
        <w:t xml:space="preserve">project to </w:t>
      </w:r>
      <w:r w:rsidRPr="0091613B">
        <w:rPr>
          <w:lang w:val="en-US"/>
        </w:rPr>
        <w:t xml:space="preserve">develop </w:t>
      </w:r>
      <w:r w:rsidR="00435517" w:rsidRPr="0091613B">
        <w:rPr>
          <w:lang w:val="en-US"/>
        </w:rPr>
        <w:t>or</w:t>
      </w:r>
      <w:r w:rsidRPr="0091613B">
        <w:rPr>
          <w:lang w:val="en-US"/>
        </w:rPr>
        <w:t xml:space="preserve"> scal</w:t>
      </w:r>
      <w:r w:rsidR="00986F59" w:rsidRPr="0091613B">
        <w:rPr>
          <w:lang w:val="en-US"/>
        </w:rPr>
        <w:t>e</w:t>
      </w:r>
      <w:r w:rsidRPr="0091613B">
        <w:rPr>
          <w:lang w:val="en-US"/>
        </w:rPr>
        <w:t xml:space="preserve"> up supply chains that are based on African biodiversity and respect </w:t>
      </w:r>
      <w:r w:rsidR="003B5E70">
        <w:rPr>
          <w:lang w:val="en-US"/>
        </w:rPr>
        <w:t xml:space="preserve">UNCTAD </w:t>
      </w:r>
      <w:proofErr w:type="spellStart"/>
      <w:r w:rsidRPr="0091613B">
        <w:rPr>
          <w:lang w:val="en-US"/>
        </w:rPr>
        <w:t>BioTrade</w:t>
      </w:r>
      <w:proofErr w:type="spellEnd"/>
      <w:r w:rsidRPr="0091613B">
        <w:rPr>
          <w:lang w:val="en-US"/>
        </w:rPr>
        <w:t xml:space="preserve"> principles.</w:t>
      </w:r>
    </w:p>
    <w:p w14:paraId="02BDCCAD" w14:textId="10EA9724" w:rsidR="00FF5C19" w:rsidRPr="0091613B" w:rsidRDefault="00FF5C19" w:rsidP="00BB6412">
      <w:pPr>
        <w:rPr>
          <w:lang w:val="en-US"/>
        </w:rPr>
      </w:pPr>
    </w:p>
    <w:p w14:paraId="107336D9" w14:textId="77777777" w:rsidR="00C15900" w:rsidRDefault="00C15900" w:rsidP="0091613B">
      <w:pPr>
        <w:jc w:val="both"/>
        <w:rPr>
          <w:b/>
          <w:bCs/>
          <w:sz w:val="24"/>
          <w:szCs w:val="24"/>
          <w:lang w:val="en-US"/>
        </w:rPr>
      </w:pPr>
    </w:p>
    <w:p w14:paraId="62A2A696" w14:textId="7B87115B" w:rsidR="00776AD2" w:rsidRPr="0091613B" w:rsidRDefault="002705DB" w:rsidP="0091613B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What</w:t>
      </w:r>
      <w:r w:rsidRPr="0091613B">
        <w:rPr>
          <w:b/>
          <w:bCs/>
          <w:sz w:val="24"/>
          <w:szCs w:val="24"/>
          <w:lang w:val="en-US"/>
        </w:rPr>
        <w:t xml:space="preserve"> </w:t>
      </w:r>
      <w:r w:rsidR="0062688C" w:rsidRPr="0091613B">
        <w:rPr>
          <w:b/>
          <w:bCs/>
          <w:sz w:val="24"/>
          <w:szCs w:val="24"/>
          <w:lang w:val="en-US"/>
        </w:rPr>
        <w:t>can BioInnovation Africa support</w:t>
      </w:r>
      <w:r w:rsidR="00BC4D91" w:rsidRPr="0091613B">
        <w:rPr>
          <w:b/>
          <w:bCs/>
          <w:sz w:val="24"/>
          <w:szCs w:val="24"/>
          <w:lang w:val="en-US"/>
        </w:rPr>
        <w:t>?</w:t>
      </w:r>
    </w:p>
    <w:p w14:paraId="2FB45166" w14:textId="113CED1F" w:rsidR="00D050A0" w:rsidRPr="00D050A0" w:rsidRDefault="0062688C" w:rsidP="00BB6412">
      <w:pPr>
        <w:jc w:val="both"/>
        <w:rPr>
          <w:lang w:val="en-US"/>
        </w:rPr>
      </w:pPr>
      <w:r w:rsidRPr="009F493B">
        <w:rPr>
          <w:lang w:val="en-US"/>
        </w:rPr>
        <w:t>Collaboration modalities between BioInnovation Africa and partner organizations are tailor made and demand driven.</w:t>
      </w:r>
      <w:r w:rsidR="00C470B1" w:rsidRPr="009F493B">
        <w:rPr>
          <w:lang w:val="en-US"/>
        </w:rPr>
        <w:t xml:space="preserve"> </w:t>
      </w:r>
      <w:r w:rsidR="009F493B" w:rsidRPr="009F493B">
        <w:rPr>
          <w:lang w:val="en-US"/>
        </w:rPr>
        <w:t>Collaboration schemes may include technical and financial support at various stages of the supply chain and the manufacturing process</w:t>
      </w:r>
      <w:r w:rsidR="009F493B">
        <w:rPr>
          <w:lang w:val="en-US"/>
        </w:rPr>
        <w:t xml:space="preserve">. </w:t>
      </w:r>
    </w:p>
    <w:p w14:paraId="261E4D4E" w14:textId="77777777" w:rsidR="00776AD2" w:rsidRPr="0091613B" w:rsidRDefault="00776AD2" w:rsidP="00BB6412">
      <w:pPr>
        <w:jc w:val="both"/>
        <w:rPr>
          <w:lang w:val="en-US"/>
        </w:rPr>
      </w:pPr>
    </w:p>
    <w:p w14:paraId="448F29D9" w14:textId="0FAD6330" w:rsidR="00483CB9" w:rsidRPr="0091613B" w:rsidRDefault="00776AD2" w:rsidP="00BB6412">
      <w:pPr>
        <w:jc w:val="both"/>
        <w:rPr>
          <w:lang w:val="en-US"/>
        </w:rPr>
      </w:pPr>
      <w:r w:rsidRPr="0091613B">
        <w:rPr>
          <w:lang w:val="en-US"/>
        </w:rPr>
        <w:t>A</w:t>
      </w:r>
      <w:r w:rsidRPr="00776AD2">
        <w:rPr>
          <w:lang w:val="en-US"/>
        </w:rPr>
        <w:t xml:space="preserve"> wide</w:t>
      </w:r>
      <w:r w:rsidRPr="0091613B">
        <w:rPr>
          <w:lang w:val="en-US"/>
        </w:rPr>
        <w:t xml:space="preserve"> portfolio of project support services can be considered </w:t>
      </w:r>
      <w:r w:rsidR="002705DB">
        <w:rPr>
          <w:lang w:val="en-US"/>
        </w:rPr>
        <w:t xml:space="preserve">and </w:t>
      </w:r>
      <w:r w:rsidRPr="0091613B">
        <w:rPr>
          <w:lang w:val="en-US"/>
        </w:rPr>
        <w:t>jointly</w:t>
      </w:r>
      <w:r w:rsidR="00483CB9" w:rsidRPr="0091613B">
        <w:rPr>
          <w:lang w:val="en-US"/>
        </w:rPr>
        <w:t xml:space="preserve"> </w:t>
      </w:r>
      <w:r w:rsidR="002705DB">
        <w:rPr>
          <w:lang w:val="en-US"/>
        </w:rPr>
        <w:t>defined</w:t>
      </w:r>
      <w:r w:rsidR="00483CB9" w:rsidRPr="0091613B">
        <w:rPr>
          <w:lang w:val="en-US"/>
        </w:rPr>
        <w:t xml:space="preserve">. Examples </w:t>
      </w:r>
      <w:r w:rsidR="002705DB">
        <w:rPr>
          <w:lang w:val="en-US"/>
        </w:rPr>
        <w:t xml:space="preserve">of possible activities </w:t>
      </w:r>
      <w:r w:rsidR="00483CB9" w:rsidRPr="0091613B">
        <w:rPr>
          <w:lang w:val="en-US"/>
        </w:rPr>
        <w:t xml:space="preserve">include training of local suppliers, consultations with local supplier communities, </w:t>
      </w:r>
      <w:r w:rsidR="002705DB">
        <w:rPr>
          <w:lang w:val="en-US"/>
        </w:rPr>
        <w:t>development of</w:t>
      </w:r>
      <w:r w:rsidR="00483CB9" w:rsidRPr="0091613B">
        <w:rPr>
          <w:lang w:val="en-US"/>
        </w:rPr>
        <w:t xml:space="preserve"> biodiversity action plans, </w:t>
      </w:r>
      <w:r w:rsidR="002705DB">
        <w:rPr>
          <w:lang w:val="en-US"/>
        </w:rPr>
        <w:t>guidance for</w:t>
      </w:r>
      <w:r w:rsidR="002705DB" w:rsidRPr="0091613B">
        <w:rPr>
          <w:lang w:val="en-US"/>
        </w:rPr>
        <w:t xml:space="preserve"> </w:t>
      </w:r>
      <w:r w:rsidR="00483CB9" w:rsidRPr="0091613B">
        <w:rPr>
          <w:lang w:val="en-US"/>
        </w:rPr>
        <w:t>ABS compliance</w:t>
      </w:r>
      <w:r w:rsidR="002705DB">
        <w:rPr>
          <w:lang w:val="en-US"/>
        </w:rPr>
        <w:t>, facilitation of</w:t>
      </w:r>
      <w:r w:rsidR="00483CB9" w:rsidRPr="0091613B">
        <w:rPr>
          <w:lang w:val="en-US"/>
        </w:rPr>
        <w:t xml:space="preserve"> ABS negotiations, </w:t>
      </w:r>
      <w:r w:rsidR="002705DB">
        <w:rPr>
          <w:lang w:val="en-US"/>
        </w:rPr>
        <w:t xml:space="preserve">making links </w:t>
      </w:r>
      <w:r w:rsidR="00483CB9" w:rsidRPr="0091613B">
        <w:rPr>
          <w:lang w:val="en-US"/>
        </w:rPr>
        <w:t>to local suppliers</w:t>
      </w:r>
      <w:r w:rsidR="00D050A0" w:rsidRPr="0091613B">
        <w:rPr>
          <w:lang w:val="en-US"/>
        </w:rPr>
        <w:t xml:space="preserve"> or buyers</w:t>
      </w:r>
      <w:r w:rsidR="00483CB9" w:rsidRPr="0091613B">
        <w:rPr>
          <w:lang w:val="en-US"/>
        </w:rPr>
        <w:t xml:space="preserve">, </w:t>
      </w:r>
      <w:r w:rsidR="0035131A">
        <w:rPr>
          <w:lang w:val="en-US"/>
        </w:rPr>
        <w:t xml:space="preserve">and </w:t>
      </w:r>
      <w:r w:rsidR="00483CB9" w:rsidRPr="0091613B">
        <w:rPr>
          <w:lang w:val="en-US"/>
        </w:rPr>
        <w:t>sector round-tables and dialogue</w:t>
      </w:r>
      <w:r w:rsidR="00D050A0" w:rsidRPr="0091613B">
        <w:rPr>
          <w:lang w:val="en-US"/>
        </w:rPr>
        <w:t>s</w:t>
      </w:r>
      <w:r w:rsidR="009F493B">
        <w:rPr>
          <w:lang w:val="en-US"/>
        </w:rPr>
        <w:t xml:space="preserve"> (see </w:t>
      </w:r>
      <w:r w:rsidR="009F493B" w:rsidRPr="00AD1E2A">
        <w:rPr>
          <w:lang w:val="en-US"/>
        </w:rPr>
        <w:t>detailed list below</w:t>
      </w:r>
      <w:r w:rsidR="009F493B">
        <w:rPr>
          <w:lang w:val="en-US"/>
        </w:rPr>
        <w:t>)</w:t>
      </w:r>
      <w:r w:rsidR="00483CB9" w:rsidRPr="0091613B">
        <w:rPr>
          <w:lang w:val="en-US"/>
        </w:rPr>
        <w:t xml:space="preserve">.  </w:t>
      </w:r>
    </w:p>
    <w:p w14:paraId="555D9FF7" w14:textId="713B94D9" w:rsidR="00C15900" w:rsidRDefault="00C15900">
      <w:pPr>
        <w:spacing w:after="160" w:line="259" w:lineRule="auto"/>
        <w:rPr>
          <w:b/>
          <w:bCs/>
          <w:sz w:val="24"/>
          <w:szCs w:val="24"/>
          <w:lang w:val="en-US"/>
        </w:rPr>
      </w:pPr>
    </w:p>
    <w:p w14:paraId="59CB43E2" w14:textId="7E03270E" w:rsidR="00AD1E2A" w:rsidRDefault="005966C0" w:rsidP="00AD1E2A">
      <w:pPr>
        <w:rPr>
          <w:i/>
          <w:lang w:val="en-US"/>
        </w:rPr>
      </w:pPr>
      <w:r>
        <w:rPr>
          <w:i/>
          <w:lang w:val="en-US"/>
        </w:rPr>
        <w:t>Possible cooperation fields and activities of</w:t>
      </w:r>
      <w:r w:rsidR="00C97AF2">
        <w:rPr>
          <w:i/>
          <w:lang w:val="en-US"/>
        </w:rPr>
        <w:t xml:space="preserve"> the project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D1E2A" w:rsidRPr="005966C0" w14:paraId="42D78D04" w14:textId="77777777" w:rsidTr="00224C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1156" w14:textId="6487746B" w:rsidR="00AD1E2A" w:rsidRPr="00753FE2" w:rsidRDefault="00C97AF2">
            <w:pPr>
              <w:rPr>
                <w:lang w:val="en-US"/>
              </w:rPr>
            </w:pPr>
            <w:r w:rsidRPr="00C66FF0">
              <w:rPr>
                <w:lang w:val="en-US"/>
              </w:rPr>
              <w:t xml:space="preserve">Strengthening </w:t>
            </w:r>
            <w:r w:rsidRPr="006E2186">
              <w:rPr>
                <w:lang w:val="en-US"/>
              </w:rPr>
              <w:t>local business on</w:t>
            </w:r>
            <w:r w:rsidRPr="00753FE2">
              <w:rPr>
                <w:lang w:val="en-US"/>
              </w:rPr>
              <w:t xml:space="preserve"> issues like q</w:t>
            </w:r>
            <w:r w:rsidR="00AD1E2A" w:rsidRPr="00753FE2">
              <w:rPr>
                <w:lang w:val="en-US"/>
              </w:rPr>
              <w:t xml:space="preserve">uality and traceability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0115" w14:textId="3C3B42BE" w:rsidR="00AD1E2A" w:rsidRPr="00C66FF0" w:rsidRDefault="00C97AF2" w:rsidP="00224C33">
            <w:pPr>
              <w:pStyle w:val="Listenabsatz"/>
              <w:numPr>
                <w:ilvl w:val="1"/>
                <w:numId w:val="26"/>
              </w:numPr>
              <w:ind w:left="172" w:hanging="172"/>
              <w:rPr>
                <w:lang w:val="en-US"/>
              </w:rPr>
            </w:pPr>
            <w:r w:rsidRPr="00753FE2">
              <w:rPr>
                <w:lang w:val="en-US"/>
              </w:rPr>
              <w:t>D</w:t>
            </w:r>
            <w:r w:rsidR="00AD1E2A" w:rsidRPr="00753FE2">
              <w:rPr>
                <w:lang w:val="en-US"/>
              </w:rPr>
              <w:t>esign</w:t>
            </w:r>
            <w:r w:rsidRPr="00753FE2">
              <w:rPr>
                <w:lang w:val="en-US"/>
              </w:rPr>
              <w:t xml:space="preserve"> of</w:t>
            </w:r>
            <w:r w:rsidR="00AD1E2A" w:rsidRPr="00753FE2">
              <w:rPr>
                <w:lang w:val="en-US"/>
              </w:rPr>
              <w:t xml:space="preserve"> </w:t>
            </w:r>
            <w:r w:rsidR="00AD1E2A" w:rsidRPr="00C15900">
              <w:rPr>
                <w:lang w:val="en-US"/>
              </w:rPr>
              <w:t>operating procedures</w:t>
            </w:r>
          </w:p>
          <w:p w14:paraId="2C3C7199" w14:textId="487C4824" w:rsidR="00AD1E2A" w:rsidRPr="00C66FF0" w:rsidRDefault="00C97AF2" w:rsidP="00224C33">
            <w:pPr>
              <w:pStyle w:val="Listenabsatz"/>
              <w:numPr>
                <w:ilvl w:val="1"/>
                <w:numId w:val="26"/>
              </w:numPr>
              <w:ind w:left="172" w:hanging="172"/>
              <w:rPr>
                <w:lang w:val="en-US"/>
              </w:rPr>
            </w:pPr>
            <w:r w:rsidRPr="00C66FF0">
              <w:rPr>
                <w:lang w:val="en-US"/>
              </w:rPr>
              <w:t>D</w:t>
            </w:r>
            <w:r w:rsidRPr="006E2186">
              <w:rPr>
                <w:lang w:val="en-US"/>
              </w:rPr>
              <w:t xml:space="preserve">evelopment of </w:t>
            </w:r>
            <w:r w:rsidR="00AD1E2A" w:rsidRPr="00C15900">
              <w:rPr>
                <w:lang w:val="en-US"/>
              </w:rPr>
              <w:t>traceability systems</w:t>
            </w:r>
          </w:p>
          <w:p w14:paraId="25DED4DF" w14:textId="4306A724" w:rsidR="00AD1E2A" w:rsidRPr="00C66FF0" w:rsidRDefault="00C97AF2" w:rsidP="00224C33">
            <w:pPr>
              <w:pStyle w:val="Listenabsatz"/>
              <w:numPr>
                <w:ilvl w:val="1"/>
                <w:numId w:val="26"/>
              </w:numPr>
              <w:ind w:left="172" w:hanging="172"/>
              <w:rPr>
                <w:lang w:val="en-US"/>
              </w:rPr>
            </w:pPr>
            <w:r w:rsidRPr="00C15900">
              <w:rPr>
                <w:lang w:val="en-US"/>
              </w:rPr>
              <w:t xml:space="preserve">Practices </w:t>
            </w:r>
            <w:r w:rsidR="00753FE2">
              <w:rPr>
                <w:lang w:val="en-US"/>
              </w:rPr>
              <w:t xml:space="preserve">of </w:t>
            </w:r>
            <w:r w:rsidR="00AD1E2A" w:rsidRPr="00C15900">
              <w:rPr>
                <w:lang w:val="en-US"/>
              </w:rPr>
              <w:t xml:space="preserve">farmer groups </w:t>
            </w:r>
            <w:r w:rsidR="00AD1E2A" w:rsidRPr="00C66FF0">
              <w:rPr>
                <w:lang w:val="en-US"/>
              </w:rPr>
              <w:t>(storage, processing, transport)</w:t>
            </w:r>
          </w:p>
          <w:p w14:paraId="70994421" w14:textId="7F1FD02B" w:rsidR="00AD1E2A" w:rsidRPr="00C66FF0" w:rsidRDefault="00C97AF2" w:rsidP="00224C33">
            <w:pPr>
              <w:pStyle w:val="Listenabsatz"/>
              <w:numPr>
                <w:ilvl w:val="1"/>
                <w:numId w:val="26"/>
              </w:numPr>
              <w:ind w:left="172" w:hanging="172"/>
              <w:rPr>
                <w:lang w:val="en-US"/>
              </w:rPr>
            </w:pPr>
            <w:r w:rsidRPr="006E2186">
              <w:rPr>
                <w:lang w:val="en-US"/>
              </w:rPr>
              <w:t>Developmen</w:t>
            </w:r>
            <w:r w:rsidRPr="00753FE2">
              <w:rPr>
                <w:lang w:val="en-US"/>
              </w:rPr>
              <w:t>t of l</w:t>
            </w:r>
            <w:r w:rsidR="00AD1E2A" w:rsidRPr="00753FE2">
              <w:rPr>
                <w:lang w:val="en-US"/>
              </w:rPr>
              <w:t xml:space="preserve">ocal </w:t>
            </w:r>
            <w:r w:rsidR="00AD1E2A" w:rsidRPr="00C15900">
              <w:rPr>
                <w:lang w:val="en-US"/>
              </w:rPr>
              <w:t>monitoring systems</w:t>
            </w:r>
            <w:r w:rsidR="00753FE2">
              <w:rPr>
                <w:lang w:val="en-US"/>
              </w:rPr>
              <w:t xml:space="preserve"> / internal control systems</w:t>
            </w:r>
          </w:p>
        </w:tc>
      </w:tr>
      <w:tr w:rsidR="00AD1E2A" w:rsidRPr="005966C0" w14:paraId="730EB217" w14:textId="77777777" w:rsidTr="00224C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A300" w14:textId="1222C1AF" w:rsidR="00AD1E2A" w:rsidRPr="006E2186" w:rsidRDefault="00AD1E2A">
            <w:pPr>
              <w:rPr>
                <w:lang w:val="en-US"/>
              </w:rPr>
            </w:pPr>
            <w:r w:rsidRPr="00C66FF0">
              <w:rPr>
                <w:lang w:val="en-US"/>
              </w:rPr>
              <w:t>Sustainable sourcing and equitable trade</w:t>
            </w:r>
            <w:r w:rsidR="00C97AF2" w:rsidRPr="00C66FF0">
              <w:rPr>
                <w:lang w:val="en-US"/>
              </w:rPr>
              <w:t xml:space="preserve"> practic</w:t>
            </w:r>
            <w:r w:rsidR="00C97AF2" w:rsidRPr="006E2186">
              <w:rPr>
                <w:lang w:val="en-US"/>
              </w:rPr>
              <w:t>es</w:t>
            </w:r>
          </w:p>
          <w:p w14:paraId="3DFF1AF4" w14:textId="77777777" w:rsidR="00AD1E2A" w:rsidRPr="006E2186" w:rsidRDefault="00AD1E2A">
            <w:pPr>
              <w:rPr>
                <w:lang w:val="en-US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E851" w14:textId="77777777" w:rsidR="00AD1E2A" w:rsidRPr="00C66FF0" w:rsidRDefault="00AD1E2A" w:rsidP="00224C33">
            <w:pPr>
              <w:pStyle w:val="Listenabsatz"/>
              <w:numPr>
                <w:ilvl w:val="1"/>
                <w:numId w:val="26"/>
              </w:numPr>
              <w:ind w:left="172" w:hanging="172"/>
              <w:rPr>
                <w:lang w:val="en-US"/>
              </w:rPr>
            </w:pPr>
            <w:r w:rsidRPr="00C15900">
              <w:rPr>
                <w:lang w:val="en-US"/>
              </w:rPr>
              <w:t>Supply chain assessments</w:t>
            </w:r>
            <w:r w:rsidRPr="00C66FF0">
              <w:rPr>
                <w:lang w:val="en-US"/>
              </w:rPr>
              <w:t xml:space="preserve"> and verifications for sustainable sourcing</w:t>
            </w:r>
          </w:p>
          <w:p w14:paraId="3D1257EC" w14:textId="50507030" w:rsidR="00AD1E2A" w:rsidRPr="00C66FF0" w:rsidRDefault="00AD1E2A" w:rsidP="00224C33">
            <w:pPr>
              <w:pStyle w:val="Listenabsatz"/>
              <w:numPr>
                <w:ilvl w:val="1"/>
                <w:numId w:val="26"/>
              </w:numPr>
              <w:ind w:left="172" w:hanging="172"/>
              <w:rPr>
                <w:lang w:val="en-US"/>
              </w:rPr>
            </w:pPr>
            <w:r w:rsidRPr="00C15900">
              <w:rPr>
                <w:lang w:val="en-US"/>
              </w:rPr>
              <w:t xml:space="preserve">Cost-calculations </w:t>
            </w:r>
            <w:r w:rsidRPr="00C66FF0">
              <w:rPr>
                <w:lang w:val="en-US"/>
              </w:rPr>
              <w:t xml:space="preserve">for prices to </w:t>
            </w:r>
            <w:r w:rsidRPr="00C15900">
              <w:rPr>
                <w:lang w:val="en-US"/>
              </w:rPr>
              <w:t>local farmer groups</w:t>
            </w:r>
            <w:r w:rsidR="00FC2ED7">
              <w:rPr>
                <w:lang w:val="en-US"/>
              </w:rPr>
              <w:t>,</w:t>
            </w:r>
            <w:r w:rsidRPr="00C15900">
              <w:rPr>
                <w:lang w:val="en-US"/>
              </w:rPr>
              <w:t xml:space="preserve"> </w:t>
            </w:r>
            <w:r w:rsidRPr="00C66FF0">
              <w:rPr>
                <w:lang w:val="en-US"/>
              </w:rPr>
              <w:t>farmers</w:t>
            </w:r>
            <w:r w:rsidR="00FC2ED7">
              <w:rPr>
                <w:lang w:val="en-US"/>
              </w:rPr>
              <w:t>,</w:t>
            </w:r>
            <w:r w:rsidRPr="00C66FF0">
              <w:rPr>
                <w:lang w:val="en-US"/>
              </w:rPr>
              <w:t xml:space="preserve"> pickers</w:t>
            </w:r>
          </w:p>
          <w:p w14:paraId="03C3D32D" w14:textId="38ECD295" w:rsidR="00AD1E2A" w:rsidRPr="00C66FF0" w:rsidRDefault="00AD1E2A" w:rsidP="00224C33">
            <w:pPr>
              <w:pStyle w:val="Listenabsatz"/>
              <w:numPr>
                <w:ilvl w:val="1"/>
                <w:numId w:val="26"/>
              </w:numPr>
              <w:ind w:left="172" w:hanging="172"/>
              <w:rPr>
                <w:lang w:val="en-US"/>
              </w:rPr>
            </w:pPr>
            <w:r w:rsidRPr="00C15900">
              <w:rPr>
                <w:lang w:val="en-US"/>
              </w:rPr>
              <w:t xml:space="preserve">Community consultation workshops </w:t>
            </w:r>
            <w:r w:rsidRPr="00C66FF0">
              <w:rPr>
                <w:lang w:val="en-US"/>
              </w:rPr>
              <w:t xml:space="preserve">and formulation of </w:t>
            </w:r>
            <w:r w:rsidRPr="00C15900">
              <w:rPr>
                <w:lang w:val="en-US"/>
              </w:rPr>
              <w:t>local projects</w:t>
            </w:r>
            <w:r w:rsidR="00FC2ED7">
              <w:rPr>
                <w:lang w:val="en-US"/>
              </w:rPr>
              <w:t xml:space="preserve"> or</w:t>
            </w:r>
            <w:r w:rsidRPr="00C15900">
              <w:rPr>
                <w:lang w:val="en-US"/>
              </w:rPr>
              <w:t xml:space="preserve"> </w:t>
            </w:r>
            <w:r w:rsidRPr="00C66FF0">
              <w:rPr>
                <w:lang w:val="en-US"/>
              </w:rPr>
              <w:t>local</w:t>
            </w:r>
            <w:r w:rsidRPr="00C15900">
              <w:rPr>
                <w:lang w:val="en-US"/>
              </w:rPr>
              <w:t xml:space="preserve"> </w:t>
            </w:r>
            <w:r w:rsidRPr="00C66FF0">
              <w:rPr>
                <w:lang w:val="en-US"/>
              </w:rPr>
              <w:t>biodiversity conservation measures</w:t>
            </w:r>
          </w:p>
          <w:p w14:paraId="0A89220B" w14:textId="77777777" w:rsidR="00AD1E2A" w:rsidRPr="00C66FF0" w:rsidRDefault="00AD1E2A" w:rsidP="00224C33">
            <w:pPr>
              <w:pStyle w:val="Listenabsatz"/>
              <w:numPr>
                <w:ilvl w:val="1"/>
                <w:numId w:val="26"/>
              </w:numPr>
              <w:ind w:left="172" w:hanging="172"/>
              <w:rPr>
                <w:lang w:val="en-US"/>
              </w:rPr>
            </w:pPr>
            <w:r w:rsidRPr="00C15900">
              <w:rPr>
                <w:lang w:val="en-US"/>
              </w:rPr>
              <w:t>Organization of local communities</w:t>
            </w:r>
            <w:r w:rsidRPr="00C66FF0">
              <w:rPr>
                <w:lang w:val="en-US"/>
              </w:rPr>
              <w:t>, formalization of supply networks of farmers and pickers</w:t>
            </w:r>
          </w:p>
          <w:p w14:paraId="49EBB86B" w14:textId="77777777" w:rsidR="00AD1E2A" w:rsidRPr="00C66FF0" w:rsidRDefault="00AD1E2A" w:rsidP="00224C33">
            <w:pPr>
              <w:pStyle w:val="Listenabsatz"/>
              <w:numPr>
                <w:ilvl w:val="1"/>
                <w:numId w:val="26"/>
              </w:numPr>
              <w:ind w:left="172" w:hanging="172"/>
              <w:rPr>
                <w:lang w:val="en-US"/>
              </w:rPr>
            </w:pPr>
            <w:r w:rsidRPr="00C15900">
              <w:rPr>
                <w:lang w:val="en-US"/>
              </w:rPr>
              <w:t>Improvement of working conditions</w:t>
            </w:r>
            <w:r w:rsidRPr="00C66FF0">
              <w:rPr>
                <w:lang w:val="en-US"/>
              </w:rPr>
              <w:t xml:space="preserve">, health and safety measures </w:t>
            </w:r>
          </w:p>
        </w:tc>
      </w:tr>
      <w:tr w:rsidR="00AD1E2A" w:rsidRPr="005966C0" w14:paraId="24D3A9A1" w14:textId="77777777" w:rsidTr="00224C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18AA" w14:textId="77777777" w:rsidR="00AD1E2A" w:rsidRPr="00C66FF0" w:rsidRDefault="00AD1E2A">
            <w:pPr>
              <w:rPr>
                <w:lang w:val="en-US"/>
              </w:rPr>
            </w:pPr>
            <w:r w:rsidRPr="00C66FF0">
              <w:rPr>
                <w:lang w:val="en-US"/>
              </w:rPr>
              <w:t>Sustainable farming, wild collection and resource management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F26B" w14:textId="7057733F" w:rsidR="00AD1E2A" w:rsidRPr="00C66FF0" w:rsidRDefault="00AD1E2A" w:rsidP="00224C33">
            <w:pPr>
              <w:pStyle w:val="Listenabsatz"/>
              <w:numPr>
                <w:ilvl w:val="1"/>
                <w:numId w:val="26"/>
              </w:numPr>
              <w:ind w:left="172" w:hanging="172"/>
              <w:rPr>
                <w:lang w:val="en-US"/>
              </w:rPr>
            </w:pPr>
            <w:r w:rsidRPr="00C15900">
              <w:rPr>
                <w:lang w:val="en-US"/>
              </w:rPr>
              <w:t xml:space="preserve">Biodiversity assessments </w:t>
            </w:r>
            <w:r w:rsidR="00C66FF0" w:rsidRPr="00C15900">
              <w:rPr>
                <w:lang w:val="en-US"/>
              </w:rPr>
              <w:t>and</w:t>
            </w:r>
            <w:r w:rsidRPr="00C15900">
              <w:rPr>
                <w:lang w:val="en-US"/>
              </w:rPr>
              <w:t xml:space="preserve"> plans </w:t>
            </w:r>
            <w:r w:rsidRPr="00C66FF0">
              <w:rPr>
                <w:lang w:val="en-US"/>
              </w:rPr>
              <w:t>in supply chain sourcing</w:t>
            </w:r>
            <w:r w:rsidRPr="00C15900">
              <w:rPr>
                <w:lang w:val="en-US"/>
              </w:rPr>
              <w:t xml:space="preserve"> areas</w:t>
            </w:r>
          </w:p>
          <w:p w14:paraId="0811E9B6" w14:textId="64D37A44" w:rsidR="00AD1E2A" w:rsidRPr="00C66FF0" w:rsidRDefault="00AD1E2A" w:rsidP="00224C33">
            <w:pPr>
              <w:pStyle w:val="Listenabsatz"/>
              <w:numPr>
                <w:ilvl w:val="1"/>
                <w:numId w:val="26"/>
              </w:numPr>
              <w:ind w:left="172" w:hanging="172"/>
              <w:rPr>
                <w:lang w:val="en-US"/>
              </w:rPr>
            </w:pPr>
            <w:r w:rsidRPr="00C15900">
              <w:rPr>
                <w:lang w:val="en-US"/>
              </w:rPr>
              <w:t>Resource assessment</w:t>
            </w:r>
            <w:r w:rsidR="00C66FF0" w:rsidRPr="00C15900">
              <w:rPr>
                <w:lang w:val="en-US"/>
              </w:rPr>
              <w:t>s</w:t>
            </w:r>
            <w:r w:rsidRPr="00C15900">
              <w:rPr>
                <w:lang w:val="en-US"/>
              </w:rPr>
              <w:t xml:space="preserve"> </w:t>
            </w:r>
            <w:r w:rsidRPr="00C66FF0">
              <w:rPr>
                <w:lang w:val="en-US"/>
              </w:rPr>
              <w:t xml:space="preserve">for </w:t>
            </w:r>
            <w:r w:rsidRPr="00C15900">
              <w:rPr>
                <w:lang w:val="en-US"/>
              </w:rPr>
              <w:t xml:space="preserve">sustainable regeneration rates </w:t>
            </w:r>
            <w:r w:rsidRPr="00C66FF0">
              <w:rPr>
                <w:lang w:val="en-US"/>
              </w:rPr>
              <w:t>in wild collection</w:t>
            </w:r>
          </w:p>
          <w:p w14:paraId="4E2CB975" w14:textId="22E399B3" w:rsidR="00AD1E2A" w:rsidRPr="00224C33" w:rsidRDefault="00AD1E2A" w:rsidP="00224C33">
            <w:pPr>
              <w:pStyle w:val="Listenabsatz"/>
              <w:numPr>
                <w:ilvl w:val="1"/>
                <w:numId w:val="26"/>
              </w:numPr>
              <w:ind w:left="172" w:hanging="172"/>
              <w:rPr>
                <w:lang w:val="en-US"/>
              </w:rPr>
            </w:pPr>
            <w:r w:rsidRPr="006E2186">
              <w:rPr>
                <w:lang w:val="en-US"/>
              </w:rPr>
              <w:t xml:space="preserve">Implementation of </w:t>
            </w:r>
            <w:r w:rsidRPr="00C15900">
              <w:rPr>
                <w:lang w:val="en-US"/>
              </w:rPr>
              <w:t xml:space="preserve">biodiversity conservation </w:t>
            </w:r>
            <w:r w:rsidR="00C66FF0" w:rsidRPr="00C15900">
              <w:rPr>
                <w:lang w:val="en-US"/>
              </w:rPr>
              <w:t>measures</w:t>
            </w:r>
            <w:r w:rsidRPr="00C15900">
              <w:rPr>
                <w:lang w:val="en-US"/>
              </w:rPr>
              <w:t xml:space="preserve"> </w:t>
            </w:r>
            <w:r w:rsidRPr="00C66FF0">
              <w:rPr>
                <w:lang w:val="en-US"/>
              </w:rPr>
              <w:t xml:space="preserve">  </w:t>
            </w:r>
            <w:r w:rsidRPr="00C66FF0">
              <w:rPr>
                <w:lang w:val="en-US"/>
              </w:rPr>
              <w:br/>
              <w:t xml:space="preserve">(e.g. reforestation, enrichment planting, </w:t>
            </w:r>
            <w:r w:rsidR="00C66FF0" w:rsidRPr="00C66FF0">
              <w:rPr>
                <w:lang w:val="en-US"/>
              </w:rPr>
              <w:t>biodiversity</w:t>
            </w:r>
            <w:r w:rsidR="00C66FF0" w:rsidRPr="006E2186">
              <w:rPr>
                <w:lang w:val="en-US"/>
              </w:rPr>
              <w:t xml:space="preserve"> friendly</w:t>
            </w:r>
            <w:r w:rsidRPr="00753FE2">
              <w:rPr>
                <w:lang w:val="en-US"/>
              </w:rPr>
              <w:t xml:space="preserve"> </w:t>
            </w:r>
            <w:r w:rsidR="00C66FF0" w:rsidRPr="00753FE2">
              <w:rPr>
                <w:lang w:val="en-US"/>
              </w:rPr>
              <w:t>a</w:t>
            </w:r>
            <w:r w:rsidRPr="00C15900">
              <w:rPr>
                <w:lang w:val="en-US"/>
              </w:rPr>
              <w:t>gricultural</w:t>
            </w:r>
            <w:r w:rsidR="00C66FF0" w:rsidRPr="00C15900">
              <w:rPr>
                <w:lang w:val="en-US"/>
              </w:rPr>
              <w:t xml:space="preserve"> practices</w:t>
            </w:r>
          </w:p>
        </w:tc>
      </w:tr>
      <w:tr w:rsidR="00AD1E2A" w:rsidRPr="005966C0" w14:paraId="1693DAF9" w14:textId="77777777" w:rsidTr="00224C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0D37" w14:textId="464C1BAF" w:rsidR="00AD1E2A" w:rsidRPr="00C66FF0" w:rsidRDefault="00AD1E2A">
            <w:pPr>
              <w:rPr>
                <w:lang w:val="en-US"/>
              </w:rPr>
            </w:pPr>
            <w:r w:rsidRPr="00C66FF0">
              <w:rPr>
                <w:lang w:val="en-US"/>
              </w:rPr>
              <w:t>Support ABS compliance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FF21" w14:textId="77777777" w:rsidR="00AD1E2A" w:rsidRPr="00C66FF0" w:rsidRDefault="00AD1E2A" w:rsidP="00224C33">
            <w:pPr>
              <w:pStyle w:val="Listenabsatz"/>
              <w:numPr>
                <w:ilvl w:val="1"/>
                <w:numId w:val="26"/>
              </w:numPr>
              <w:ind w:left="172" w:hanging="172"/>
              <w:rPr>
                <w:lang w:val="en-US"/>
              </w:rPr>
            </w:pPr>
            <w:r w:rsidRPr="00C15900">
              <w:rPr>
                <w:lang w:val="en-US"/>
              </w:rPr>
              <w:t xml:space="preserve">Assess ABS compliance status </w:t>
            </w:r>
            <w:r w:rsidRPr="00C66FF0">
              <w:rPr>
                <w:lang w:val="en-US"/>
              </w:rPr>
              <w:t xml:space="preserve">and compliance </w:t>
            </w:r>
            <w:r w:rsidRPr="00C15900">
              <w:rPr>
                <w:lang w:val="en-US"/>
              </w:rPr>
              <w:t>options</w:t>
            </w:r>
          </w:p>
          <w:p w14:paraId="7E8A4A1C" w14:textId="70CED23A" w:rsidR="00AD1E2A" w:rsidRPr="00C66FF0" w:rsidRDefault="00AD1E2A" w:rsidP="00224C33">
            <w:pPr>
              <w:pStyle w:val="Listenabsatz"/>
              <w:numPr>
                <w:ilvl w:val="1"/>
                <w:numId w:val="26"/>
              </w:numPr>
              <w:ind w:left="172" w:hanging="172"/>
              <w:rPr>
                <w:lang w:val="en-US"/>
              </w:rPr>
            </w:pPr>
            <w:r w:rsidRPr="00C66FF0">
              <w:rPr>
                <w:lang w:val="en-US"/>
              </w:rPr>
              <w:t xml:space="preserve">Guide companies in </w:t>
            </w:r>
            <w:r w:rsidRPr="00C15900">
              <w:rPr>
                <w:lang w:val="en-US"/>
              </w:rPr>
              <w:t>processes</w:t>
            </w:r>
            <w:r w:rsidRPr="00C66FF0">
              <w:rPr>
                <w:lang w:val="en-US"/>
              </w:rPr>
              <w:t xml:space="preserve"> towards </w:t>
            </w:r>
            <w:r w:rsidRPr="00C15900">
              <w:rPr>
                <w:lang w:val="en-US"/>
              </w:rPr>
              <w:t>ABS compliance</w:t>
            </w:r>
          </w:p>
          <w:p w14:paraId="25BD66E7" w14:textId="77777777" w:rsidR="00AD1E2A" w:rsidRPr="00C66FF0" w:rsidRDefault="00AD1E2A" w:rsidP="00224C33">
            <w:pPr>
              <w:pStyle w:val="Listenabsatz"/>
              <w:numPr>
                <w:ilvl w:val="1"/>
                <w:numId w:val="26"/>
              </w:numPr>
              <w:ind w:left="172" w:hanging="172"/>
              <w:rPr>
                <w:lang w:val="en-US"/>
              </w:rPr>
            </w:pPr>
            <w:r w:rsidRPr="00C15900">
              <w:rPr>
                <w:lang w:val="en-US"/>
              </w:rPr>
              <w:t xml:space="preserve">Facilitate negotiations </w:t>
            </w:r>
            <w:r w:rsidRPr="00C66FF0">
              <w:rPr>
                <w:lang w:val="en-US"/>
              </w:rPr>
              <w:t>between companies, providers and national competent authorities</w:t>
            </w:r>
          </w:p>
          <w:p w14:paraId="6E218262" w14:textId="77777777" w:rsidR="00AD1E2A" w:rsidRPr="006E2186" w:rsidRDefault="00AD1E2A" w:rsidP="00224C33">
            <w:pPr>
              <w:pStyle w:val="Listenabsatz"/>
              <w:numPr>
                <w:ilvl w:val="1"/>
                <w:numId w:val="26"/>
              </w:numPr>
              <w:ind w:left="172" w:hanging="172"/>
              <w:rPr>
                <w:lang w:val="en-US"/>
              </w:rPr>
            </w:pPr>
            <w:r w:rsidRPr="00C15900">
              <w:rPr>
                <w:lang w:val="en-US"/>
              </w:rPr>
              <w:t xml:space="preserve">Provide </w:t>
            </w:r>
            <w:r w:rsidRPr="00C66FF0">
              <w:rPr>
                <w:lang w:val="en-US"/>
              </w:rPr>
              <w:t>legal review of ABS contracts</w:t>
            </w:r>
          </w:p>
        </w:tc>
      </w:tr>
      <w:tr w:rsidR="00AD1E2A" w:rsidRPr="005966C0" w14:paraId="32E24B94" w14:textId="77777777" w:rsidTr="00224C3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2F31" w14:textId="77777777" w:rsidR="00AD1E2A" w:rsidRPr="00C66FF0" w:rsidRDefault="00AD1E2A">
            <w:pPr>
              <w:rPr>
                <w:lang w:val="en-US"/>
              </w:rPr>
            </w:pPr>
            <w:r w:rsidRPr="00C66FF0">
              <w:rPr>
                <w:lang w:val="en-US"/>
              </w:rPr>
              <w:t>Sector dialogue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2F22" w14:textId="18EB7CF6" w:rsidR="00AD1E2A" w:rsidRPr="00C66FF0" w:rsidRDefault="00753FE2" w:rsidP="00224C33">
            <w:pPr>
              <w:pStyle w:val="Listenabsatz"/>
              <w:numPr>
                <w:ilvl w:val="1"/>
                <w:numId w:val="26"/>
              </w:numPr>
              <w:ind w:left="172" w:hanging="172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AD1E2A" w:rsidRPr="00C15900">
              <w:rPr>
                <w:lang w:val="en-US"/>
              </w:rPr>
              <w:t xml:space="preserve">ector meetings </w:t>
            </w:r>
            <w:r w:rsidR="00AD1E2A" w:rsidRPr="00C66FF0">
              <w:rPr>
                <w:lang w:val="en-US"/>
              </w:rPr>
              <w:t xml:space="preserve">and </w:t>
            </w:r>
            <w:r w:rsidR="00AD1E2A" w:rsidRPr="00C15900">
              <w:rPr>
                <w:lang w:val="en-US"/>
              </w:rPr>
              <w:t>round tables</w:t>
            </w:r>
          </w:p>
          <w:p w14:paraId="13C41E5F" w14:textId="46555638" w:rsidR="00AD1E2A" w:rsidRPr="00C15900" w:rsidRDefault="00AD1E2A" w:rsidP="00224C33">
            <w:pPr>
              <w:pStyle w:val="Listenabsatz"/>
              <w:numPr>
                <w:ilvl w:val="1"/>
                <w:numId w:val="26"/>
              </w:numPr>
              <w:ind w:left="172" w:hanging="172"/>
              <w:rPr>
                <w:lang w:val="en-US"/>
              </w:rPr>
            </w:pPr>
            <w:r w:rsidRPr="00C66FF0">
              <w:rPr>
                <w:lang w:val="en-US"/>
              </w:rPr>
              <w:t xml:space="preserve">Definition of commonly agreed </w:t>
            </w:r>
            <w:r w:rsidRPr="00C15900">
              <w:rPr>
                <w:lang w:val="en-US"/>
              </w:rPr>
              <w:t>good practices</w:t>
            </w:r>
          </w:p>
          <w:p w14:paraId="52D96D6B" w14:textId="0CDFB5C0" w:rsidR="00C66FF0" w:rsidRPr="00C66FF0" w:rsidRDefault="00C66FF0" w:rsidP="00224C33">
            <w:pPr>
              <w:pStyle w:val="Listenabsatz"/>
              <w:numPr>
                <w:ilvl w:val="1"/>
                <w:numId w:val="26"/>
              </w:numPr>
              <w:ind w:left="172" w:hanging="172"/>
              <w:rPr>
                <w:lang w:val="en-US"/>
              </w:rPr>
            </w:pPr>
            <w:r w:rsidRPr="00C66FF0">
              <w:rPr>
                <w:lang w:val="en-US"/>
              </w:rPr>
              <w:t xml:space="preserve">Crop specific guidance </w:t>
            </w:r>
            <w:r w:rsidR="00753FE2">
              <w:rPr>
                <w:lang w:val="en-US"/>
              </w:rPr>
              <w:t xml:space="preserve">for </w:t>
            </w:r>
            <w:proofErr w:type="spellStart"/>
            <w:r w:rsidR="00753FE2">
              <w:rPr>
                <w:lang w:val="en-US"/>
              </w:rPr>
              <w:t>BioTrade</w:t>
            </w:r>
            <w:proofErr w:type="spellEnd"/>
            <w:r w:rsidR="00753FE2">
              <w:rPr>
                <w:lang w:val="en-US"/>
              </w:rPr>
              <w:t xml:space="preserve"> </w:t>
            </w:r>
            <w:r w:rsidRPr="00C15900">
              <w:rPr>
                <w:lang w:val="en-US"/>
              </w:rPr>
              <w:t>standards</w:t>
            </w:r>
          </w:p>
          <w:p w14:paraId="65CDCF18" w14:textId="77777777" w:rsidR="00AD1E2A" w:rsidRPr="00C66FF0" w:rsidRDefault="00AD1E2A" w:rsidP="00224C33">
            <w:pPr>
              <w:pStyle w:val="Listenabsatz"/>
              <w:numPr>
                <w:ilvl w:val="1"/>
                <w:numId w:val="26"/>
              </w:numPr>
              <w:ind w:left="172" w:hanging="172"/>
              <w:rPr>
                <w:lang w:val="en-US"/>
              </w:rPr>
            </w:pPr>
            <w:r w:rsidRPr="00C15900">
              <w:rPr>
                <w:lang w:val="en-US"/>
              </w:rPr>
              <w:t>Business training</w:t>
            </w:r>
            <w:r w:rsidRPr="00C66FF0">
              <w:rPr>
                <w:lang w:val="en-US"/>
              </w:rPr>
              <w:t xml:space="preserve"> and </w:t>
            </w:r>
            <w:r w:rsidRPr="00C15900">
              <w:rPr>
                <w:lang w:val="en-US"/>
              </w:rPr>
              <w:t xml:space="preserve">technical support </w:t>
            </w:r>
            <w:r w:rsidRPr="00C66FF0">
              <w:rPr>
                <w:lang w:val="en-US"/>
              </w:rPr>
              <w:t>at sectoral level</w:t>
            </w:r>
          </w:p>
          <w:p w14:paraId="238EA87B" w14:textId="77777777" w:rsidR="00AD1E2A" w:rsidRPr="00C66FF0" w:rsidRDefault="00AD1E2A" w:rsidP="00224C33">
            <w:pPr>
              <w:pStyle w:val="Listenabsatz"/>
              <w:numPr>
                <w:ilvl w:val="1"/>
                <w:numId w:val="26"/>
              </w:numPr>
              <w:ind w:left="172" w:hanging="172"/>
              <w:rPr>
                <w:lang w:val="en-US"/>
              </w:rPr>
            </w:pPr>
            <w:r w:rsidRPr="006E2186">
              <w:rPr>
                <w:lang w:val="en-US"/>
              </w:rPr>
              <w:t xml:space="preserve">Identification / elaboration of </w:t>
            </w:r>
            <w:r w:rsidRPr="00C15900">
              <w:rPr>
                <w:lang w:val="en-US"/>
              </w:rPr>
              <w:t xml:space="preserve">co-financing schemes </w:t>
            </w:r>
            <w:r w:rsidRPr="00C66FF0">
              <w:rPr>
                <w:lang w:val="en-US"/>
              </w:rPr>
              <w:t xml:space="preserve">(e.g. PPP) </w:t>
            </w:r>
          </w:p>
        </w:tc>
      </w:tr>
    </w:tbl>
    <w:p w14:paraId="0E683B60" w14:textId="77777777" w:rsidR="00AD1E2A" w:rsidRPr="00C15900" w:rsidRDefault="00AD1E2A" w:rsidP="00C15900">
      <w:pPr>
        <w:rPr>
          <w:lang w:val="en-GB"/>
        </w:rPr>
      </w:pPr>
    </w:p>
    <w:sectPr w:rsidR="00AD1E2A" w:rsidRPr="00C15900" w:rsidSect="00E0714A">
      <w:headerReference w:type="default" r:id="rId8"/>
      <w:footerReference w:type="default" r:id="rId9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7E4436" w16cid:durableId="21619622"/>
  <w16cid:commentId w16cid:paraId="63CC1AB6" w16cid:durableId="216289DA"/>
  <w16cid:commentId w16cid:paraId="62E9D191" w16cid:durableId="21619D5D"/>
  <w16cid:commentId w16cid:paraId="363ECD2C" w16cid:durableId="216195FE"/>
  <w16cid:commentId w16cid:paraId="0DD06257" w16cid:durableId="21619FB2"/>
  <w16cid:commentId w16cid:paraId="206FF38A" w16cid:durableId="216195FF"/>
  <w16cid:commentId w16cid:paraId="08A5AADF" w16cid:durableId="216289DF"/>
  <w16cid:commentId w16cid:paraId="5BA0E9A9" w16cid:durableId="2161973B"/>
  <w16cid:commentId w16cid:paraId="37C0FEC1" w16cid:durableId="21619600"/>
  <w16cid:commentId w16cid:paraId="06907DB4" w16cid:durableId="21619E69"/>
  <w16cid:commentId w16cid:paraId="0852759E" w16cid:durableId="216289E3"/>
  <w16cid:commentId w16cid:paraId="6F690738" w16cid:durableId="216197C5"/>
  <w16cid:commentId w16cid:paraId="4D03EACC" w16cid:durableId="21619601"/>
  <w16cid:commentId w16cid:paraId="4D3D0589" w16cid:durableId="216197FA"/>
  <w16cid:commentId w16cid:paraId="4FADC450" w16cid:durableId="2161984E"/>
  <w16cid:commentId w16cid:paraId="5786756E" w16cid:durableId="216289E8"/>
  <w16cid:commentId w16cid:paraId="278BE584" w16cid:durableId="21629927"/>
  <w16cid:commentId w16cid:paraId="72623439" w16cid:durableId="2161A1F1"/>
  <w16cid:commentId w16cid:paraId="180197D7" w16cid:durableId="21619602"/>
  <w16cid:commentId w16cid:paraId="245CA433" w16cid:durableId="2161A011"/>
  <w16cid:commentId w16cid:paraId="1EE085FE" w16cid:durableId="21619603"/>
  <w16cid:commentId w16cid:paraId="0E90D57F" w16cid:durableId="21619604"/>
  <w16cid:commentId w16cid:paraId="14B636D1" w16cid:durableId="2149F761"/>
  <w16cid:commentId w16cid:paraId="31063889" w16cid:durableId="21619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7E3FB" w14:textId="77777777" w:rsidR="00D81E95" w:rsidRDefault="00D81E95" w:rsidP="00E0714A">
      <w:r>
        <w:separator/>
      </w:r>
    </w:p>
  </w:endnote>
  <w:endnote w:type="continuationSeparator" w:id="0">
    <w:p w14:paraId="16A3E87B" w14:textId="77777777" w:rsidR="00D81E95" w:rsidRDefault="00D81E95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703906" w14:paraId="391639F4" w14:textId="77777777" w:rsidTr="000D6C89">
      <w:tc>
        <w:tcPr>
          <w:tcW w:w="1329" w:type="pct"/>
        </w:tcPr>
        <w:p w14:paraId="419AA933" w14:textId="77777777" w:rsidR="00703906" w:rsidRDefault="00703906" w:rsidP="0070390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</w:p>
      </w:tc>
      <w:tc>
        <w:tcPr>
          <w:tcW w:w="2266" w:type="pct"/>
        </w:tcPr>
        <w:p w14:paraId="6559F3A0" w14:textId="77777777" w:rsidR="00703906" w:rsidRDefault="00703906" w:rsidP="00703906">
          <w:pPr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14:paraId="46E422C2" w14:textId="00B4CA53" w:rsidR="00703906" w:rsidRDefault="00703906" w:rsidP="00703906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Seite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</w:instrText>
          </w:r>
          <w:r>
            <w:rPr>
              <w:sz w:val="18"/>
              <w:szCs w:val="18"/>
            </w:rPr>
            <w:fldChar w:fldCharType="separate"/>
          </w:r>
          <w:r w:rsidR="008F424E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24BA1870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F8B13" w14:textId="77777777" w:rsidR="00D81E95" w:rsidRDefault="00D81E95" w:rsidP="00E0714A">
      <w:r>
        <w:separator/>
      </w:r>
    </w:p>
  </w:footnote>
  <w:footnote w:type="continuationSeparator" w:id="0">
    <w:p w14:paraId="078868D5" w14:textId="77777777" w:rsidR="00D81E95" w:rsidRDefault="00D81E95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703906" w14:paraId="581CEDB1" w14:textId="77777777" w:rsidTr="000D6C89">
      <w:tc>
        <w:tcPr>
          <w:tcW w:w="3497" w:type="pct"/>
        </w:tcPr>
        <w:p w14:paraId="1AB00EFB" w14:textId="77777777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6F3B7C50" w14:textId="77777777" w:rsidR="00703906" w:rsidRPr="00703906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 w:rsidRPr="00703906">
            <w:rPr>
              <w:rFonts w:eastAsia="Times New Roman" w:cs="Times New Roman"/>
              <w:noProof/>
              <w:sz w:val="20"/>
              <w:szCs w:val="20"/>
              <w:lang w:eastAsia="de-DE"/>
            </w:rPr>
            <w:drawing>
              <wp:inline distT="0" distB="0" distL="0" distR="0" wp14:anchorId="48B0A13D" wp14:editId="3B268E55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D7770A" w14:textId="77777777"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15293"/>
    <w:multiLevelType w:val="hybridMultilevel"/>
    <w:tmpl w:val="117074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4D346B"/>
    <w:multiLevelType w:val="hybridMultilevel"/>
    <w:tmpl w:val="5F0606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2602A"/>
    <w:multiLevelType w:val="hybridMultilevel"/>
    <w:tmpl w:val="EC563B7A"/>
    <w:lvl w:ilvl="0" w:tplc="2A766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01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A9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2F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61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60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6E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65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8D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5B327B"/>
    <w:multiLevelType w:val="hybridMultilevel"/>
    <w:tmpl w:val="BFDE3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66FC2"/>
    <w:multiLevelType w:val="hybridMultilevel"/>
    <w:tmpl w:val="001EBCDA"/>
    <w:lvl w:ilvl="0" w:tplc="661A5EB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CB6D3E"/>
    <w:multiLevelType w:val="hybridMultilevel"/>
    <w:tmpl w:val="E2F45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C25925"/>
    <w:multiLevelType w:val="hybridMultilevel"/>
    <w:tmpl w:val="13E47D68"/>
    <w:lvl w:ilvl="0" w:tplc="949478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A6683"/>
    <w:multiLevelType w:val="hybridMultilevel"/>
    <w:tmpl w:val="072C5B74"/>
    <w:lvl w:ilvl="0" w:tplc="FD86C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881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E5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C3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45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A0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45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A9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84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814A48"/>
    <w:multiLevelType w:val="hybridMultilevel"/>
    <w:tmpl w:val="D0169514"/>
    <w:lvl w:ilvl="0" w:tplc="949478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009C5"/>
    <w:multiLevelType w:val="hybridMultilevel"/>
    <w:tmpl w:val="DE10A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42904"/>
    <w:multiLevelType w:val="hybridMultilevel"/>
    <w:tmpl w:val="116825E6"/>
    <w:lvl w:ilvl="0" w:tplc="949478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1A69A0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61ACF"/>
    <w:multiLevelType w:val="hybridMultilevel"/>
    <w:tmpl w:val="602613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C375D4"/>
    <w:multiLevelType w:val="hybridMultilevel"/>
    <w:tmpl w:val="04826F50"/>
    <w:lvl w:ilvl="0" w:tplc="021C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33589"/>
    <w:multiLevelType w:val="hybridMultilevel"/>
    <w:tmpl w:val="FF74B21E"/>
    <w:lvl w:ilvl="0" w:tplc="949478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55515"/>
    <w:multiLevelType w:val="hybridMultilevel"/>
    <w:tmpl w:val="99109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1C6EA1"/>
    <w:multiLevelType w:val="hybridMultilevel"/>
    <w:tmpl w:val="477A87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5"/>
  </w:num>
  <w:num w:numId="13">
    <w:abstractNumId w:val="19"/>
  </w:num>
  <w:num w:numId="14">
    <w:abstractNumId w:val="25"/>
  </w:num>
  <w:num w:numId="15">
    <w:abstractNumId w:val="13"/>
  </w:num>
  <w:num w:numId="16">
    <w:abstractNumId w:val="16"/>
  </w:num>
  <w:num w:numId="17">
    <w:abstractNumId w:val="18"/>
  </w:num>
  <w:num w:numId="18">
    <w:abstractNumId w:val="17"/>
  </w:num>
  <w:num w:numId="19">
    <w:abstractNumId w:val="20"/>
  </w:num>
  <w:num w:numId="20">
    <w:abstractNumId w:val="23"/>
  </w:num>
  <w:num w:numId="21">
    <w:abstractNumId w:val="11"/>
  </w:num>
  <w:num w:numId="22">
    <w:abstractNumId w:val="12"/>
  </w:num>
  <w:num w:numId="23">
    <w:abstractNumId w:val="21"/>
  </w:num>
  <w:num w:numId="24">
    <w:abstractNumId w:val="10"/>
  </w:num>
  <w:num w:numId="25">
    <w:abstractNumId w:val="14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E"/>
    <w:rsid w:val="00007C87"/>
    <w:rsid w:val="00007F57"/>
    <w:rsid w:val="000123F5"/>
    <w:rsid w:val="000134DC"/>
    <w:rsid w:val="000345DC"/>
    <w:rsid w:val="00034D9E"/>
    <w:rsid w:val="00063CD6"/>
    <w:rsid w:val="0007055D"/>
    <w:rsid w:val="00075F70"/>
    <w:rsid w:val="000E64DE"/>
    <w:rsid w:val="00113E2E"/>
    <w:rsid w:val="00141C6F"/>
    <w:rsid w:val="001463B6"/>
    <w:rsid w:val="001F7E2A"/>
    <w:rsid w:val="00200A21"/>
    <w:rsid w:val="00212F52"/>
    <w:rsid w:val="00224C33"/>
    <w:rsid w:val="00245D05"/>
    <w:rsid w:val="002667E6"/>
    <w:rsid w:val="002705DB"/>
    <w:rsid w:val="002855A9"/>
    <w:rsid w:val="002E115D"/>
    <w:rsid w:val="002F28AC"/>
    <w:rsid w:val="002F7B5C"/>
    <w:rsid w:val="003031A8"/>
    <w:rsid w:val="0031115F"/>
    <w:rsid w:val="0032755E"/>
    <w:rsid w:val="0034130C"/>
    <w:rsid w:val="0035131A"/>
    <w:rsid w:val="003A2F0A"/>
    <w:rsid w:val="003B306D"/>
    <w:rsid w:val="003B4F67"/>
    <w:rsid w:val="003B5E70"/>
    <w:rsid w:val="003B6ABB"/>
    <w:rsid w:val="003D0B13"/>
    <w:rsid w:val="003E29DA"/>
    <w:rsid w:val="003E5CAF"/>
    <w:rsid w:val="004065BF"/>
    <w:rsid w:val="00413D3B"/>
    <w:rsid w:val="00422A0E"/>
    <w:rsid w:val="00435517"/>
    <w:rsid w:val="00483CB9"/>
    <w:rsid w:val="004F4EFF"/>
    <w:rsid w:val="0053735E"/>
    <w:rsid w:val="00546EDE"/>
    <w:rsid w:val="005611FA"/>
    <w:rsid w:val="00570EA3"/>
    <w:rsid w:val="0057316A"/>
    <w:rsid w:val="005966C0"/>
    <w:rsid w:val="0062688C"/>
    <w:rsid w:val="00652BDF"/>
    <w:rsid w:val="006551C7"/>
    <w:rsid w:val="00662E1F"/>
    <w:rsid w:val="00676462"/>
    <w:rsid w:val="00681AE3"/>
    <w:rsid w:val="0068672C"/>
    <w:rsid w:val="006D3C1C"/>
    <w:rsid w:val="006E2186"/>
    <w:rsid w:val="00703906"/>
    <w:rsid w:val="00753FE2"/>
    <w:rsid w:val="00766CBD"/>
    <w:rsid w:val="00776AD2"/>
    <w:rsid w:val="00777255"/>
    <w:rsid w:val="007B21F4"/>
    <w:rsid w:val="007E67E5"/>
    <w:rsid w:val="007F2801"/>
    <w:rsid w:val="0080748B"/>
    <w:rsid w:val="008237D6"/>
    <w:rsid w:val="0083365C"/>
    <w:rsid w:val="00841C09"/>
    <w:rsid w:val="00845162"/>
    <w:rsid w:val="00881E1E"/>
    <w:rsid w:val="008963CA"/>
    <w:rsid w:val="008B382D"/>
    <w:rsid w:val="008C425C"/>
    <w:rsid w:val="008F408F"/>
    <w:rsid w:val="008F424E"/>
    <w:rsid w:val="00903B36"/>
    <w:rsid w:val="0090716F"/>
    <w:rsid w:val="0091613B"/>
    <w:rsid w:val="009344F7"/>
    <w:rsid w:val="00957190"/>
    <w:rsid w:val="00977D15"/>
    <w:rsid w:val="00986F59"/>
    <w:rsid w:val="009B3BE1"/>
    <w:rsid w:val="009D2661"/>
    <w:rsid w:val="009E349F"/>
    <w:rsid w:val="009E507F"/>
    <w:rsid w:val="009F493B"/>
    <w:rsid w:val="009F75E8"/>
    <w:rsid w:val="00A129C5"/>
    <w:rsid w:val="00A24A20"/>
    <w:rsid w:val="00A75C47"/>
    <w:rsid w:val="00A951DC"/>
    <w:rsid w:val="00AB16E0"/>
    <w:rsid w:val="00AD1E2A"/>
    <w:rsid w:val="00AF50D6"/>
    <w:rsid w:val="00B16B8D"/>
    <w:rsid w:val="00B30A58"/>
    <w:rsid w:val="00B56AC0"/>
    <w:rsid w:val="00BB552F"/>
    <w:rsid w:val="00BB6412"/>
    <w:rsid w:val="00BB7A52"/>
    <w:rsid w:val="00BB7B45"/>
    <w:rsid w:val="00BC4D91"/>
    <w:rsid w:val="00BD3B58"/>
    <w:rsid w:val="00BE0BB3"/>
    <w:rsid w:val="00BF24CB"/>
    <w:rsid w:val="00BF4DBB"/>
    <w:rsid w:val="00C15900"/>
    <w:rsid w:val="00C22BC0"/>
    <w:rsid w:val="00C470B1"/>
    <w:rsid w:val="00C65CD5"/>
    <w:rsid w:val="00C66FF0"/>
    <w:rsid w:val="00C83358"/>
    <w:rsid w:val="00C8488F"/>
    <w:rsid w:val="00C97AF2"/>
    <w:rsid w:val="00CB61D3"/>
    <w:rsid w:val="00CE7880"/>
    <w:rsid w:val="00CF2355"/>
    <w:rsid w:val="00CF298D"/>
    <w:rsid w:val="00D045EA"/>
    <w:rsid w:val="00D050A0"/>
    <w:rsid w:val="00D11879"/>
    <w:rsid w:val="00D723D0"/>
    <w:rsid w:val="00D81E95"/>
    <w:rsid w:val="00DC211E"/>
    <w:rsid w:val="00DC44B7"/>
    <w:rsid w:val="00DD4E08"/>
    <w:rsid w:val="00DD7F3F"/>
    <w:rsid w:val="00DE5F03"/>
    <w:rsid w:val="00E0714A"/>
    <w:rsid w:val="00E41E41"/>
    <w:rsid w:val="00E42DF2"/>
    <w:rsid w:val="00E67CCF"/>
    <w:rsid w:val="00EA113F"/>
    <w:rsid w:val="00EA14A7"/>
    <w:rsid w:val="00EB1DBD"/>
    <w:rsid w:val="00ED34BE"/>
    <w:rsid w:val="00EE3CBA"/>
    <w:rsid w:val="00F05005"/>
    <w:rsid w:val="00F11786"/>
    <w:rsid w:val="00F30AA3"/>
    <w:rsid w:val="00F41268"/>
    <w:rsid w:val="00F75277"/>
    <w:rsid w:val="00F9218A"/>
    <w:rsid w:val="00FC2ED7"/>
    <w:rsid w:val="00FD263E"/>
    <w:rsid w:val="00FD7B6C"/>
    <w:rsid w:val="00FE519C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2F1F4E"/>
  <w15:chartTrackingRefBased/>
  <w15:docId w15:val="{73006433-5EEF-48A8-AD53-953E4A20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0E64DE"/>
    <w:pPr>
      <w:ind w:left="720"/>
      <w:contextualSpacing/>
    </w:pPr>
  </w:style>
  <w:style w:type="character" w:customStyle="1" w:styleId="A3">
    <w:name w:val="A3"/>
    <w:uiPriority w:val="99"/>
    <w:rsid w:val="000E64DE"/>
    <w:rPr>
      <w:b/>
      <w:bCs/>
      <w:color w:val="000000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CF298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67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67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67E5"/>
    <w:rPr>
      <w:rFonts w:ascii="Arial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67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67E5"/>
    <w:rPr>
      <w:rFonts w:ascii="Arial" w:hAnsi="Arial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2705DB"/>
    <w:pPr>
      <w:spacing w:after="0" w:line="240" w:lineRule="auto"/>
    </w:pPr>
    <w:rPr>
      <w:rFonts w:ascii="Arial" w:hAnsi="Arial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2755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55E"/>
    <w:rPr>
      <w:rFonts w:ascii="Arial" w:hAnsi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27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99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93F7B-3A92-4D6D-A6F8-D633991D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2483</Characters>
  <Application>Microsoft Office Word</Application>
  <DocSecurity>4</DocSecurity>
  <Lines>62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Dierks</dc:creator>
  <cp:keywords/>
  <dc:description/>
  <cp:lastModifiedBy>Dierks, Tobias GIZ</cp:lastModifiedBy>
  <cp:revision>2</cp:revision>
  <dcterms:created xsi:type="dcterms:W3CDTF">2019-11-14T19:13:00Z</dcterms:created>
  <dcterms:modified xsi:type="dcterms:W3CDTF">2019-11-14T19:13:00Z</dcterms:modified>
</cp:coreProperties>
</file>